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</w:sdtPr>
            <w:sdtContent>
              <w:p w14:paraId="04B28D90" w14:textId="690EB230" w:rsidR="00DF6754" w:rsidRPr="00526BA8" w:rsidRDefault="00DF6754" w:rsidP="00DF6754">
                <w:r w:rsidRPr="00526BA8">
                  <w:t>Mesto Banská Štiavnica</w:t>
                </w:r>
              </w:p>
              <w:p w14:paraId="50ED898E" w14:textId="77777777" w:rsidR="00DF6754" w:rsidRPr="00526BA8" w:rsidRDefault="00DF6754" w:rsidP="00DF6754">
                <w:r w:rsidRPr="00526BA8">
                  <w:t xml:space="preserve">Radničné námestie 1, 969 01 Banská Štiavnica </w:t>
                </w:r>
              </w:p>
              <w:p w14:paraId="43C2E7EC" w14:textId="77777777" w:rsidR="00DF6754" w:rsidRDefault="00DF6754" w:rsidP="00DF6754">
                <w:r w:rsidRPr="00526BA8">
                  <w:t>IČO: 00 320</w:t>
                </w:r>
                <w:r>
                  <w:t> </w:t>
                </w:r>
                <w:r w:rsidRPr="00526BA8">
                  <w:t xml:space="preserve">501 </w:t>
                </w:r>
              </w:p>
              <w:p w14:paraId="0AA5AF57" w14:textId="274832AF" w:rsidR="00C13711" w:rsidRPr="00C13711" w:rsidRDefault="00000000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000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000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000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45B3" w14:textId="77777777" w:rsidR="002C0D3F" w:rsidRDefault="002C0D3F" w:rsidP="006F0BB1">
      <w:pPr>
        <w:spacing w:after="0" w:line="240" w:lineRule="auto"/>
      </w:pPr>
      <w:r>
        <w:separator/>
      </w:r>
    </w:p>
  </w:endnote>
  <w:endnote w:type="continuationSeparator" w:id="0">
    <w:p w14:paraId="416A43DD" w14:textId="77777777" w:rsidR="002C0D3F" w:rsidRDefault="002C0D3F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0921" w14:textId="77777777" w:rsidR="002C0D3F" w:rsidRDefault="002C0D3F" w:rsidP="006F0BB1">
      <w:pPr>
        <w:spacing w:after="0" w:line="240" w:lineRule="auto"/>
      </w:pPr>
      <w:r>
        <w:separator/>
      </w:r>
    </w:p>
  </w:footnote>
  <w:footnote w:type="continuationSeparator" w:id="0">
    <w:p w14:paraId="2DAA1A12" w14:textId="77777777" w:rsidR="002C0D3F" w:rsidRDefault="002C0D3F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0D3F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0007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D48C8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DF6754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814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072666"/>
    <w:rsid w:val="001379C9"/>
    <w:rsid w:val="003C76D4"/>
    <w:rsid w:val="00430C27"/>
    <w:rsid w:val="006359D2"/>
    <w:rsid w:val="008E5487"/>
    <w:rsid w:val="009B23E7"/>
    <w:rsid w:val="00A059E8"/>
    <w:rsid w:val="00B63AC1"/>
    <w:rsid w:val="00E01DCA"/>
    <w:rsid w:val="00F36814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Melichercik</cp:lastModifiedBy>
  <cp:revision>2</cp:revision>
  <cp:lastPrinted>2025-04-03T09:13:00Z</cp:lastPrinted>
  <dcterms:created xsi:type="dcterms:W3CDTF">2025-04-03T10:15:00Z</dcterms:created>
  <dcterms:modified xsi:type="dcterms:W3CDTF">2025-04-03T10:15:00Z</dcterms:modified>
</cp:coreProperties>
</file>